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6"/>
          <w:szCs w:val="36"/>
        </w:rPr>
      </w:pPr>
      <w:bookmarkStart w:id="0" w:name="_GoBack"/>
      <w:bookmarkEnd w:id="0"/>
      <w:r>
        <w:rPr>
          <w:rFonts w:hint="eastAsia" w:ascii="黑体" w:hAnsi="黑体" w:eastAsia="黑体"/>
          <w:sz w:val="36"/>
          <w:szCs w:val="36"/>
        </w:rPr>
        <w:t>广东培正学院二级学院教学质量保障体系</w:t>
      </w:r>
    </w:p>
    <w:p>
      <w:pPr>
        <w:jc w:val="center"/>
        <w:rPr>
          <w:rFonts w:ascii="黑体" w:hAnsi="黑体" w:eastAsia="黑体"/>
          <w:sz w:val="36"/>
          <w:szCs w:val="36"/>
        </w:rPr>
      </w:pPr>
      <w:r>
        <w:rPr>
          <w:rFonts w:hint="eastAsia" w:ascii="黑体" w:hAnsi="黑体" w:eastAsia="黑体"/>
          <w:sz w:val="36"/>
          <w:szCs w:val="36"/>
        </w:rPr>
        <w:t>建设的指导意见</w:t>
      </w:r>
    </w:p>
    <w:p>
      <w:pPr>
        <w:jc w:val="center"/>
        <w:rPr>
          <w:rFonts w:ascii="黑体" w:hAnsi="黑体" w:eastAsia="黑体"/>
          <w:sz w:val="28"/>
          <w:szCs w:val="28"/>
        </w:rPr>
      </w:pPr>
      <w:r>
        <w:rPr>
          <w:rFonts w:ascii="黑体" w:hAnsi="黑体" w:eastAsia="黑体"/>
          <w:sz w:val="28"/>
          <w:szCs w:val="28"/>
        </w:rPr>
        <w:t>（征求意见</w:t>
      </w:r>
      <w:r>
        <w:rPr>
          <w:rFonts w:hint="eastAsia" w:ascii="黑体" w:hAnsi="黑体" w:eastAsia="黑体"/>
          <w:sz w:val="28"/>
          <w:szCs w:val="28"/>
        </w:rPr>
        <w:t>稿</w:t>
      </w:r>
      <w:r>
        <w:rPr>
          <w:rFonts w:ascii="黑体" w:hAnsi="黑体" w:eastAsia="黑体"/>
          <w:sz w:val="28"/>
          <w:szCs w:val="28"/>
        </w:rPr>
        <w:t>）</w:t>
      </w:r>
    </w:p>
    <w:p>
      <w:pPr>
        <w:jc w:val="center"/>
        <w:rPr>
          <w:rFonts w:ascii="黑体" w:hAnsi="黑体" w:eastAsia="黑体"/>
          <w:sz w:val="28"/>
          <w:szCs w:val="28"/>
        </w:rPr>
      </w:pPr>
    </w:p>
    <w:p>
      <w:pPr>
        <w:jc w:val="center"/>
        <w:rPr>
          <w:rFonts w:ascii="黑体" w:hAnsi="黑体" w:eastAsia="黑体"/>
          <w:sz w:val="28"/>
          <w:szCs w:val="28"/>
        </w:rPr>
      </w:pPr>
      <w:r>
        <w:rPr>
          <w:rFonts w:hint="eastAsia" w:ascii="黑体" w:hAnsi="黑体" w:eastAsia="黑体"/>
          <w:sz w:val="28"/>
          <w:szCs w:val="28"/>
        </w:rPr>
        <w:t>第一章  总则</w:t>
      </w:r>
    </w:p>
    <w:p>
      <w:pPr>
        <w:ind w:firstLine="562" w:firstLineChars="200"/>
        <w:rPr>
          <w:sz w:val="28"/>
          <w:szCs w:val="28"/>
        </w:rPr>
      </w:pPr>
      <w:r>
        <w:rPr>
          <w:rFonts w:hint="eastAsia"/>
          <w:b/>
          <w:sz w:val="28"/>
          <w:szCs w:val="28"/>
        </w:rPr>
        <w:t xml:space="preserve">第一条 </w:t>
      </w:r>
      <w:r>
        <w:rPr>
          <w:rFonts w:hint="eastAsia"/>
          <w:sz w:val="28"/>
          <w:szCs w:val="28"/>
        </w:rPr>
        <w:t>以习近平新时代中国特色社会主义思想和党的二十大精神为指引；根据教育部《关于加快建设高水平本科教育，全面提高人才培养能力的意见》和《普通高等学校本科教育教学审核评估实施方案（2021-2025）》等文件精神，围绕《广东培正学院“十四五”发展规划与2035远景目标纲要》发展目标与任务，结合《广东培正学院教学质量保障体系建设实施办法》，为推进二级学院教学质量保证体系建设和运行，实现二级学院教学管理工作的制度化、程序化和规范化，制定二级学院教学质量保障体系建设的指导性意见。</w:t>
      </w:r>
    </w:p>
    <w:p>
      <w:pPr>
        <w:ind w:firstLine="562" w:firstLineChars="200"/>
        <w:rPr>
          <w:sz w:val="28"/>
          <w:szCs w:val="28"/>
        </w:rPr>
      </w:pPr>
      <w:r>
        <w:rPr>
          <w:rFonts w:hint="eastAsia"/>
          <w:b/>
          <w:sz w:val="28"/>
          <w:szCs w:val="28"/>
        </w:rPr>
        <w:t xml:space="preserve">第二条 </w:t>
      </w:r>
      <w:r>
        <w:rPr>
          <w:rFonts w:hint="eastAsia"/>
          <w:sz w:val="28"/>
          <w:szCs w:val="28"/>
        </w:rPr>
        <w:t>二级学院是学校人才培养的主体，是教学活动的直接组织者，教学过程的直接监督者，教学效果的直接检测者。为进一步加强学校内部教学质量保障体系建设，建立健全教学质量持续改进机制，实现对教学全过程、全环节、全方位的质量保障，不断提高办学水平和人才培养质量，逐步形成具有广东培正学院特色的大学质量文化。</w:t>
      </w:r>
    </w:p>
    <w:p>
      <w:pPr>
        <w:jc w:val="center"/>
        <w:rPr>
          <w:rFonts w:ascii="黑体" w:hAnsi="黑体" w:eastAsia="黑体"/>
          <w:sz w:val="28"/>
          <w:szCs w:val="28"/>
        </w:rPr>
      </w:pPr>
      <w:r>
        <w:rPr>
          <w:rFonts w:hint="eastAsia" w:ascii="黑体" w:hAnsi="黑体" w:eastAsia="黑体"/>
          <w:sz w:val="28"/>
          <w:szCs w:val="28"/>
        </w:rPr>
        <w:t>第二章  工作原则</w:t>
      </w:r>
    </w:p>
    <w:p>
      <w:pPr>
        <w:ind w:firstLine="562" w:firstLineChars="200"/>
        <w:rPr>
          <w:sz w:val="28"/>
          <w:szCs w:val="28"/>
        </w:rPr>
      </w:pPr>
      <w:r>
        <w:rPr>
          <w:rFonts w:hint="eastAsia"/>
          <w:b/>
          <w:sz w:val="28"/>
          <w:szCs w:val="28"/>
        </w:rPr>
        <w:t xml:space="preserve">第三条 </w:t>
      </w:r>
      <w:r>
        <w:rPr>
          <w:rFonts w:hint="eastAsia"/>
          <w:sz w:val="28"/>
          <w:szCs w:val="28"/>
        </w:rPr>
        <w:t>目标性原则。围绕学校办学定位和应用型人才培养目标，结合学科专业特点，建立人才培养过程各环节的质量标准及人才培养质量的评价标准，对各项教学与管理工作进行有效监测和评价，收集和分析质量信息，确保教学任务的完成与教学目标的实现。</w:t>
      </w:r>
    </w:p>
    <w:p>
      <w:pPr>
        <w:ind w:firstLine="562" w:firstLineChars="200"/>
        <w:rPr>
          <w:sz w:val="28"/>
          <w:szCs w:val="28"/>
        </w:rPr>
      </w:pPr>
      <w:r>
        <w:rPr>
          <w:rFonts w:hint="eastAsia"/>
          <w:b/>
          <w:sz w:val="28"/>
          <w:szCs w:val="28"/>
        </w:rPr>
        <w:t>第四条</w:t>
      </w:r>
      <w:r>
        <w:rPr>
          <w:rFonts w:hint="eastAsia"/>
          <w:sz w:val="28"/>
          <w:szCs w:val="28"/>
        </w:rPr>
        <w:t xml:space="preserve"> 过程性原则。教学质量保障应对教学全过程进行监控，做到事先管理准备过程，事中管理实施过程，事后管理整改过程，然后进入下一循环管理过程，保证管理的持续改进。</w:t>
      </w:r>
    </w:p>
    <w:p>
      <w:pPr>
        <w:ind w:firstLine="562" w:firstLineChars="200"/>
        <w:rPr>
          <w:sz w:val="28"/>
          <w:szCs w:val="28"/>
        </w:rPr>
      </w:pPr>
      <w:r>
        <w:rPr>
          <w:rFonts w:hint="eastAsia"/>
          <w:b/>
          <w:sz w:val="28"/>
          <w:szCs w:val="28"/>
        </w:rPr>
        <w:t xml:space="preserve">第五条 </w:t>
      </w:r>
      <w:r>
        <w:rPr>
          <w:rFonts w:hint="eastAsia"/>
          <w:sz w:val="28"/>
          <w:szCs w:val="28"/>
        </w:rPr>
        <w:t>操作性原则。教学质量是教学工作的永恒主题，坚持以日常教学管理工作为主线，以过程管理、评价反馈为基础，以持续改进为重点，提高教学质量保障体系的可操作性，提高教学质量管理的针对性和实效性。</w:t>
      </w:r>
    </w:p>
    <w:p>
      <w:pPr>
        <w:ind w:firstLine="562" w:firstLineChars="200"/>
        <w:rPr>
          <w:sz w:val="28"/>
          <w:szCs w:val="28"/>
        </w:rPr>
      </w:pPr>
      <w:r>
        <w:rPr>
          <w:rFonts w:hint="eastAsia"/>
          <w:b/>
          <w:sz w:val="28"/>
          <w:szCs w:val="28"/>
        </w:rPr>
        <w:t>第六条</w:t>
      </w:r>
      <w:r>
        <w:rPr>
          <w:rFonts w:hint="eastAsia"/>
          <w:sz w:val="28"/>
          <w:szCs w:val="28"/>
        </w:rPr>
        <w:t xml:space="preserve"> 全员性原则。教学质量保障离不开全体师生的共同努力， 其中学生是主体，教师是主导，二级学院的系（专业、教研室、教学部）是基础，二级学院领导是保证。</w:t>
      </w:r>
    </w:p>
    <w:p>
      <w:pPr>
        <w:jc w:val="center"/>
        <w:rPr>
          <w:rFonts w:ascii="黑体" w:hAnsi="黑体" w:eastAsia="黑体"/>
          <w:sz w:val="28"/>
          <w:szCs w:val="28"/>
        </w:rPr>
      </w:pPr>
      <w:r>
        <w:rPr>
          <w:rFonts w:hint="eastAsia" w:ascii="黑体" w:hAnsi="黑体" w:eastAsia="黑体"/>
          <w:sz w:val="28"/>
          <w:szCs w:val="28"/>
        </w:rPr>
        <w:t>第三章 建设思路</w:t>
      </w:r>
    </w:p>
    <w:p>
      <w:pPr>
        <w:ind w:firstLine="562" w:firstLineChars="200"/>
        <w:rPr>
          <w:sz w:val="28"/>
          <w:szCs w:val="28"/>
        </w:rPr>
      </w:pPr>
      <w:r>
        <w:rPr>
          <w:rFonts w:hint="eastAsia"/>
          <w:b/>
          <w:sz w:val="28"/>
          <w:szCs w:val="28"/>
        </w:rPr>
        <w:t>第七条 建立教学质量保障组织机构</w:t>
      </w:r>
      <w:r>
        <w:rPr>
          <w:sz w:val="28"/>
          <w:szCs w:val="28"/>
        </w:rPr>
        <w:t xml:space="preserve"> </w:t>
      </w:r>
    </w:p>
    <w:p>
      <w:pPr>
        <w:ind w:firstLine="560" w:firstLineChars="200"/>
        <w:rPr>
          <w:sz w:val="28"/>
          <w:szCs w:val="28"/>
        </w:rPr>
      </w:pPr>
      <w:r>
        <w:rPr>
          <w:rFonts w:hint="eastAsia"/>
          <w:sz w:val="28"/>
          <w:szCs w:val="28"/>
        </w:rPr>
        <w:t>1. 建立二级学院教学质量保障小组。二级学院教学质量保障小组由院长担任组长，学院领导、系部主任、教师代表等组成工作小组，按照学校的部署并结合学院实际，全面领导负责二级学院教学质量保障体系的构建，教学质量保障工作的决策，实施与改进工作。组织二级学院的系（专业、教研室、教学部）开展教学质量保障工作措施的制定与落实，组织开展评教、评学和各类专项评估工作；加强对二级学院教育教学督导、二级学院学生信息员队伍的配置、培训和工作组织与指导，为实施教学质量保障长效机制提供有力的人员保障。</w:t>
      </w:r>
    </w:p>
    <w:p>
      <w:pPr>
        <w:ind w:firstLine="560" w:firstLineChars="200"/>
        <w:rPr>
          <w:sz w:val="28"/>
          <w:szCs w:val="28"/>
        </w:rPr>
      </w:pPr>
      <w:r>
        <w:rPr>
          <w:rFonts w:hint="eastAsia"/>
          <w:sz w:val="28"/>
          <w:szCs w:val="28"/>
        </w:rPr>
        <w:t>2. 二级学院教育教学督导工作组。由二级教育教学督导及有教学经验的教师组成，发挥管理职能作用，保证教学工作平稳有序，引导教师立德树人达成教育教学目标，协助二级学院教学质量保障小组落实“学生中心、产出导向、持续改进”理念，引导帮助教师围绕课程教学目标、学习成果进行反向设计，达成课程教学目标和专业人才培养目标。</w:t>
      </w:r>
    </w:p>
    <w:p>
      <w:pPr>
        <w:ind w:firstLine="560" w:firstLineChars="200"/>
        <w:rPr>
          <w:sz w:val="28"/>
          <w:szCs w:val="28"/>
        </w:rPr>
      </w:pPr>
      <w:r>
        <w:rPr>
          <w:rFonts w:hint="eastAsia"/>
          <w:sz w:val="28"/>
          <w:szCs w:val="28"/>
        </w:rPr>
        <w:t>3. 二级学院学生信息员队伍。二级学院教学质量保障小组负责组织、指导本学院学生信息员开展工作。学生信息员针对学生学习过程中发现的有关学生思想动态、学习态度、学习纪律等方面的问题，提出加强教育教学管理与学风建设的具体建议；反映教师教学过程中的表现和存在的问题；反映学校教学资源建设方面存在的问题；反映学校教学管理方面存在的问题及其他教学相关的信息。</w:t>
      </w:r>
    </w:p>
    <w:p>
      <w:pPr>
        <w:ind w:firstLine="562" w:firstLineChars="200"/>
        <w:rPr>
          <w:sz w:val="28"/>
          <w:szCs w:val="28"/>
        </w:rPr>
      </w:pPr>
      <w:r>
        <w:rPr>
          <w:rFonts w:hint="eastAsia"/>
          <w:b/>
          <w:sz w:val="28"/>
          <w:szCs w:val="28"/>
        </w:rPr>
        <w:t>第八条 制定教学质量标准和教学管理制度</w:t>
      </w:r>
    </w:p>
    <w:p>
      <w:pPr>
        <w:ind w:firstLine="555"/>
        <w:rPr>
          <w:sz w:val="28"/>
          <w:szCs w:val="28"/>
        </w:rPr>
      </w:pPr>
      <w:r>
        <w:rPr>
          <w:rFonts w:hint="eastAsia"/>
          <w:sz w:val="28"/>
          <w:szCs w:val="28"/>
        </w:rPr>
        <w:t>二级学院应根据自身特点和发展规划，依据国家相关政策与法规和学校教学管理与质量管理文件，围绕本学院各专业人才培养目标和专业建设特色要求，制定专业人才培养方案和专业建设质量标准、课程质量标准，落实好学校教学主要环节质量标准，制定必要的考核标准和教学质量管理制度，对本学院教学实行全过程管理。</w:t>
      </w:r>
    </w:p>
    <w:p>
      <w:pPr>
        <w:adjustRightInd w:val="0"/>
        <w:snapToGrid w:val="0"/>
        <w:spacing w:before="156" w:beforeLines="50" w:line="360" w:lineRule="auto"/>
        <w:ind w:firstLine="602" w:firstLineChars="200"/>
        <w:rPr>
          <w:rFonts w:asciiTheme="majorEastAsia" w:hAnsiTheme="majorEastAsia" w:eastAsiaTheme="majorEastAsia"/>
          <w:b/>
          <w:sz w:val="30"/>
          <w:szCs w:val="30"/>
        </w:rPr>
      </w:pPr>
      <w:r>
        <w:rPr>
          <w:rFonts w:hint="eastAsia" w:asciiTheme="majorEastAsia" w:hAnsiTheme="majorEastAsia" w:eastAsiaTheme="majorEastAsia"/>
          <w:b/>
          <w:sz w:val="30"/>
          <w:szCs w:val="30"/>
        </w:rPr>
        <w:t>第九条 教学过程管理</w:t>
      </w:r>
    </w:p>
    <w:p>
      <w:pPr>
        <w:ind w:firstLine="555"/>
        <w:rPr>
          <w:sz w:val="28"/>
          <w:szCs w:val="28"/>
        </w:rPr>
      </w:pPr>
      <w:r>
        <w:rPr>
          <w:rFonts w:hint="eastAsia"/>
          <w:sz w:val="28"/>
          <w:szCs w:val="28"/>
        </w:rPr>
        <w:t>教学过程管理应在学生中心、产出导向、持续改进的理念指导下制定主要教育教学过程管理文件、规定、规程等工作规范，形成涵盖教育教学活动全过程相配套的制度文件，包括制定专业人才培养目标、修订专业人才培养方案；制定、落实教学运行管理制度, 包括理论教学管理，实验实践管理，考试考核管理，毕业论文管理，学籍学位管理等；制定、落实日常教学档案管理制度，包括课程教学标准（或教学大纲），课程考核，毕业论文(设计)等工作的存档与统计等；制定、落实第二课堂管理制度，包括国际合作与交流，课外科技活动，社会实践活动，社团，文化艺术，体育活动、劳动活动，学业、毕业就业指导与服务，创新创业活动等，保障教育教学活动规范、有序进行。</w:t>
      </w:r>
    </w:p>
    <w:p>
      <w:pPr>
        <w:ind w:firstLine="562" w:firstLineChars="200"/>
        <w:rPr>
          <w:sz w:val="28"/>
          <w:szCs w:val="28"/>
        </w:rPr>
      </w:pPr>
      <w:r>
        <w:rPr>
          <w:rFonts w:hint="eastAsia"/>
          <w:b/>
          <w:sz w:val="28"/>
          <w:szCs w:val="28"/>
        </w:rPr>
        <w:t>第十条 教学质量监测</w:t>
      </w:r>
    </w:p>
    <w:p>
      <w:pPr>
        <w:ind w:firstLine="555"/>
        <w:rPr>
          <w:sz w:val="28"/>
          <w:szCs w:val="28"/>
        </w:rPr>
      </w:pPr>
      <w:r>
        <w:rPr>
          <w:rFonts w:hint="eastAsia"/>
          <w:sz w:val="28"/>
          <w:szCs w:val="28"/>
        </w:rPr>
        <w:t>二级学院应依据教学质量保障体系、教学质量管理制度和教学质量标准开展本学院教学质量监测工作。在二级学院教学质量保障体系运行过程中，应在学校主导下，以学院为主体，系（或专业、教研室、教学部）和学生信息员为基础，师生共同参与教学质量监测，强化对教学质量相关信息的收集、整理和分析。</w:t>
      </w:r>
    </w:p>
    <w:p>
      <w:pPr>
        <w:ind w:firstLine="562" w:firstLineChars="200"/>
        <w:rPr>
          <w:sz w:val="28"/>
          <w:szCs w:val="28"/>
        </w:rPr>
      </w:pPr>
      <w:r>
        <w:rPr>
          <w:rFonts w:hint="eastAsia"/>
          <w:b/>
          <w:sz w:val="28"/>
          <w:szCs w:val="28"/>
        </w:rPr>
        <w:t>第十一条 教学质量评价</w:t>
      </w:r>
    </w:p>
    <w:p>
      <w:pPr>
        <w:ind w:firstLine="555"/>
        <w:rPr>
          <w:sz w:val="28"/>
          <w:szCs w:val="28"/>
        </w:rPr>
      </w:pPr>
      <w:r>
        <w:rPr>
          <w:rFonts w:hint="eastAsia"/>
          <w:sz w:val="28"/>
          <w:szCs w:val="28"/>
        </w:rPr>
        <w:t>二级学院应利用监测获得的信息和数据，开展师德师风评价、日常教学评价、教学专项评价以及围绕学生和教师，以学生综合能力为目标而开展的学习成效评价和教学成效评价，形成相应报告。评价结果用来判断内部质量保障体系运行的有效性。</w:t>
      </w:r>
    </w:p>
    <w:p>
      <w:pPr>
        <w:ind w:firstLine="562" w:firstLineChars="200"/>
        <w:rPr>
          <w:b/>
          <w:sz w:val="28"/>
          <w:szCs w:val="28"/>
        </w:rPr>
      </w:pPr>
      <w:r>
        <w:rPr>
          <w:rFonts w:hint="eastAsia"/>
          <w:b/>
          <w:sz w:val="28"/>
          <w:szCs w:val="28"/>
        </w:rPr>
        <w:t>第十二条 教学质量反馈及持续改进</w:t>
      </w:r>
    </w:p>
    <w:p>
      <w:pPr>
        <w:ind w:firstLine="555"/>
        <w:rPr>
          <w:sz w:val="28"/>
          <w:szCs w:val="28"/>
        </w:rPr>
      </w:pPr>
      <w:r>
        <w:rPr>
          <w:rFonts w:hint="eastAsia"/>
          <w:sz w:val="28"/>
          <w:szCs w:val="28"/>
        </w:rPr>
        <w:t>二级学院应制定教学质量评价的反馈和持续改进文件、规章制度等；质量管理人员在质量评价的基础上，将评价结果通过合适的形式及时反馈给学院、相应部门、系（或专业、教研室、教学部）及教师，使其对照检查，并对存在的问题进行研究，提出改进意见，检查改进后的效果等，通过改进工作，补齐短板，达到教学质量标准和质量目标，提升教育教学质量。</w:t>
      </w:r>
    </w:p>
    <w:p>
      <w:pPr>
        <w:ind w:firstLine="562" w:firstLineChars="200"/>
        <w:rPr>
          <w:sz w:val="28"/>
          <w:szCs w:val="28"/>
        </w:rPr>
      </w:pPr>
      <w:r>
        <w:rPr>
          <w:rFonts w:hint="eastAsia"/>
          <w:b/>
          <w:sz w:val="28"/>
          <w:szCs w:val="28"/>
        </w:rPr>
        <w:t xml:space="preserve">第十三条 </w:t>
      </w:r>
      <w:r>
        <w:rPr>
          <w:rFonts w:hint="eastAsia"/>
          <w:sz w:val="28"/>
          <w:szCs w:val="28"/>
        </w:rPr>
        <w:t>各二级学院应以学生为中心，构建完善的二级学院教学质量保障体系，对照教学质量标准，遵循“监测→诊断→反馈→改进→提升”的质量闭环管理机制，推动学校高质量发展，形成以提高人才培养水平为核心，并内化为全院师生的共同的价值追求和自觉行为，推动学校加快质量文化建设。</w:t>
      </w:r>
    </w:p>
    <w:p>
      <w:pPr>
        <w:adjustRightInd w:val="0"/>
        <w:snapToGrid w:val="0"/>
        <w:spacing w:before="156" w:beforeLines="50" w:line="360" w:lineRule="auto"/>
        <w:jc w:val="center"/>
        <w:rPr>
          <w:rFonts w:ascii="黑体" w:hAnsi="黑体" w:eastAsia="黑体"/>
          <w:b/>
          <w:sz w:val="30"/>
          <w:szCs w:val="30"/>
        </w:rPr>
      </w:pPr>
      <w:r>
        <w:rPr>
          <w:rFonts w:hint="eastAsia" w:ascii="黑体" w:hAnsi="黑体" w:eastAsia="黑体"/>
          <w:b/>
          <w:sz w:val="30"/>
          <w:szCs w:val="30"/>
        </w:rPr>
        <w:t>第四章 附 则</w:t>
      </w:r>
    </w:p>
    <w:p>
      <w:pPr>
        <w:adjustRightInd w:val="0"/>
        <w:snapToGrid w:val="0"/>
        <w:spacing w:before="156" w:beforeLines="50" w:line="360" w:lineRule="auto"/>
        <w:ind w:firstLine="602" w:firstLineChars="200"/>
        <w:rPr>
          <w:rFonts w:asciiTheme="majorEastAsia" w:hAnsiTheme="majorEastAsia" w:eastAsiaTheme="majorEastAsia"/>
          <w:sz w:val="30"/>
          <w:szCs w:val="30"/>
        </w:rPr>
      </w:pPr>
      <w:r>
        <w:rPr>
          <w:rFonts w:hint="eastAsia" w:asciiTheme="majorEastAsia" w:hAnsiTheme="majorEastAsia" w:eastAsiaTheme="majorEastAsia"/>
          <w:b/>
          <w:sz w:val="30"/>
          <w:szCs w:val="30"/>
        </w:rPr>
        <w:t>第十四条</w:t>
      </w:r>
      <w:r>
        <w:rPr>
          <w:rFonts w:hint="eastAsia" w:asciiTheme="majorEastAsia" w:hAnsiTheme="majorEastAsia" w:eastAsiaTheme="majorEastAsia"/>
          <w:sz w:val="30"/>
          <w:szCs w:val="30"/>
        </w:rPr>
        <w:t xml:space="preserve"> </w:t>
      </w:r>
      <w:r>
        <w:rPr>
          <w:rFonts w:hint="eastAsia"/>
          <w:sz w:val="28"/>
          <w:szCs w:val="28"/>
        </w:rPr>
        <w:t>各二级学院应根据学校的教学质量保障体系构建本学院的教学质量保障体系及实施</w:t>
      </w:r>
      <w:r>
        <w:rPr>
          <w:sz w:val="28"/>
          <w:szCs w:val="28"/>
        </w:rPr>
        <w:t>办法</w:t>
      </w:r>
      <w:r>
        <w:rPr>
          <w:rFonts w:hint="eastAsia"/>
          <w:sz w:val="28"/>
          <w:szCs w:val="28"/>
        </w:rPr>
        <w:t>。</w:t>
      </w:r>
    </w:p>
    <w:p>
      <w:pPr>
        <w:adjustRightInd w:val="0"/>
        <w:snapToGrid w:val="0"/>
        <w:spacing w:before="156" w:beforeLines="50" w:line="360" w:lineRule="auto"/>
        <w:ind w:firstLine="602" w:firstLineChars="200"/>
        <w:rPr>
          <w:rFonts w:asciiTheme="majorEastAsia" w:hAnsiTheme="majorEastAsia" w:eastAsiaTheme="majorEastAsia"/>
          <w:sz w:val="30"/>
          <w:szCs w:val="30"/>
        </w:rPr>
      </w:pPr>
      <w:r>
        <w:rPr>
          <w:rFonts w:hint="eastAsia" w:asciiTheme="majorEastAsia" w:hAnsiTheme="majorEastAsia" w:eastAsiaTheme="majorEastAsia"/>
          <w:b/>
          <w:sz w:val="30"/>
          <w:szCs w:val="30"/>
        </w:rPr>
        <w:t xml:space="preserve">第十五条 </w:t>
      </w:r>
      <w:r>
        <w:rPr>
          <w:rFonts w:hint="eastAsia"/>
          <w:sz w:val="28"/>
          <w:szCs w:val="28"/>
        </w:rPr>
        <w:t>各系（或专业、教研室、教学部）根据学校、学院的教学质量保障体系，制订专业建设和课程建设的质量保障框架和具体实施方案</w:t>
      </w:r>
      <w:r>
        <w:rPr>
          <w:sz w:val="28"/>
          <w:szCs w:val="28"/>
        </w:rPr>
        <w:t>。</w:t>
      </w:r>
    </w:p>
    <w:p>
      <w:pPr>
        <w:adjustRightInd w:val="0"/>
        <w:snapToGrid w:val="0"/>
        <w:spacing w:before="156" w:beforeLines="50" w:line="360" w:lineRule="auto"/>
        <w:ind w:firstLine="602" w:firstLineChars="200"/>
        <w:rPr>
          <w:rFonts w:asciiTheme="majorEastAsia" w:hAnsiTheme="majorEastAsia" w:eastAsiaTheme="majorEastAsia"/>
          <w:sz w:val="30"/>
          <w:szCs w:val="30"/>
        </w:rPr>
      </w:pPr>
      <w:r>
        <w:rPr>
          <w:rFonts w:hint="eastAsia" w:asciiTheme="majorEastAsia" w:hAnsiTheme="majorEastAsia" w:eastAsiaTheme="majorEastAsia"/>
          <w:b/>
          <w:sz w:val="30"/>
          <w:szCs w:val="30"/>
        </w:rPr>
        <w:t>第十六条</w:t>
      </w:r>
      <w:r>
        <w:rPr>
          <w:rFonts w:hint="eastAsia" w:asciiTheme="majorEastAsia" w:hAnsiTheme="majorEastAsia" w:eastAsiaTheme="majorEastAsia"/>
          <w:sz w:val="30"/>
          <w:szCs w:val="30"/>
        </w:rPr>
        <w:t xml:space="preserve"> </w:t>
      </w:r>
      <w:r>
        <w:rPr>
          <w:rFonts w:hint="eastAsia"/>
          <w:sz w:val="28"/>
          <w:szCs w:val="28"/>
        </w:rPr>
        <w:t>本指导意见由教学质量管理与评建办负责解释。</w:t>
      </w:r>
    </w:p>
    <w:p>
      <w:pPr>
        <w:adjustRightInd w:val="0"/>
        <w:snapToGrid w:val="0"/>
        <w:spacing w:before="156" w:beforeLines="50" w:line="360" w:lineRule="auto"/>
        <w:ind w:firstLine="602" w:firstLineChars="200"/>
        <w:rPr>
          <w:rFonts w:asciiTheme="majorEastAsia" w:hAnsiTheme="majorEastAsia" w:eastAsiaTheme="majorEastAsia"/>
          <w:sz w:val="30"/>
          <w:szCs w:val="30"/>
        </w:rPr>
      </w:pPr>
      <w:r>
        <w:rPr>
          <w:rFonts w:hint="eastAsia" w:asciiTheme="majorEastAsia" w:hAnsiTheme="majorEastAsia" w:eastAsiaTheme="majorEastAsia"/>
          <w:b/>
          <w:sz w:val="30"/>
          <w:szCs w:val="30"/>
        </w:rPr>
        <w:t>第十七条</w:t>
      </w:r>
      <w:r>
        <w:rPr>
          <w:rFonts w:hint="eastAsia" w:asciiTheme="majorEastAsia" w:hAnsiTheme="majorEastAsia" w:eastAsiaTheme="majorEastAsia"/>
          <w:sz w:val="30"/>
          <w:szCs w:val="30"/>
        </w:rPr>
        <w:t xml:space="preserve"> </w:t>
      </w:r>
      <w:r>
        <w:rPr>
          <w:rFonts w:hint="eastAsia"/>
          <w:sz w:val="28"/>
          <w:szCs w:val="28"/>
        </w:rPr>
        <w:t>本指导意见自公布之日起施行。</w:t>
      </w:r>
    </w:p>
    <w:p>
      <w:pPr>
        <w:rPr>
          <w:sz w:val="28"/>
          <w:szCs w:val="28"/>
        </w:rPr>
      </w:pP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570"/>
    <w:rsid w:val="00003726"/>
    <w:rsid w:val="000453B7"/>
    <w:rsid w:val="00056C37"/>
    <w:rsid w:val="00067D57"/>
    <w:rsid w:val="000B2C22"/>
    <w:rsid w:val="000C3B47"/>
    <w:rsid w:val="000E1893"/>
    <w:rsid w:val="000E20F9"/>
    <w:rsid w:val="001150D2"/>
    <w:rsid w:val="00115161"/>
    <w:rsid w:val="00124ED5"/>
    <w:rsid w:val="0018125C"/>
    <w:rsid w:val="001A01B1"/>
    <w:rsid w:val="001B68C8"/>
    <w:rsid w:val="00213F35"/>
    <w:rsid w:val="00232FDC"/>
    <w:rsid w:val="00293E54"/>
    <w:rsid w:val="002B32D2"/>
    <w:rsid w:val="002E108B"/>
    <w:rsid w:val="00300B0C"/>
    <w:rsid w:val="00321C09"/>
    <w:rsid w:val="00326863"/>
    <w:rsid w:val="00386AC0"/>
    <w:rsid w:val="00397AC4"/>
    <w:rsid w:val="003D0A48"/>
    <w:rsid w:val="003D31F3"/>
    <w:rsid w:val="00410325"/>
    <w:rsid w:val="00450434"/>
    <w:rsid w:val="004676F6"/>
    <w:rsid w:val="0047297E"/>
    <w:rsid w:val="004A1A61"/>
    <w:rsid w:val="004C13B0"/>
    <w:rsid w:val="004D71B8"/>
    <w:rsid w:val="00521C09"/>
    <w:rsid w:val="005630BB"/>
    <w:rsid w:val="00583DF7"/>
    <w:rsid w:val="005941D0"/>
    <w:rsid w:val="005A3795"/>
    <w:rsid w:val="005B1F87"/>
    <w:rsid w:val="005B27A7"/>
    <w:rsid w:val="005C330F"/>
    <w:rsid w:val="005C46EC"/>
    <w:rsid w:val="006062DF"/>
    <w:rsid w:val="00654DE0"/>
    <w:rsid w:val="006678E4"/>
    <w:rsid w:val="006D1B26"/>
    <w:rsid w:val="006E2B1E"/>
    <w:rsid w:val="007835FB"/>
    <w:rsid w:val="007D7211"/>
    <w:rsid w:val="009006CC"/>
    <w:rsid w:val="00930AF2"/>
    <w:rsid w:val="0094064F"/>
    <w:rsid w:val="009658F9"/>
    <w:rsid w:val="009B3ECE"/>
    <w:rsid w:val="009E715A"/>
    <w:rsid w:val="009F1B21"/>
    <w:rsid w:val="009F551E"/>
    <w:rsid w:val="00A11D55"/>
    <w:rsid w:val="00A15E0A"/>
    <w:rsid w:val="00A26E81"/>
    <w:rsid w:val="00A84546"/>
    <w:rsid w:val="00A902DB"/>
    <w:rsid w:val="00AA0951"/>
    <w:rsid w:val="00AB5905"/>
    <w:rsid w:val="00B12DF1"/>
    <w:rsid w:val="00B40DE5"/>
    <w:rsid w:val="00B7016E"/>
    <w:rsid w:val="00B7427B"/>
    <w:rsid w:val="00B8368B"/>
    <w:rsid w:val="00B93363"/>
    <w:rsid w:val="00BD0888"/>
    <w:rsid w:val="00BE74C0"/>
    <w:rsid w:val="00C142D6"/>
    <w:rsid w:val="00C169E3"/>
    <w:rsid w:val="00C238F4"/>
    <w:rsid w:val="00C529A3"/>
    <w:rsid w:val="00C67EB4"/>
    <w:rsid w:val="00CA6819"/>
    <w:rsid w:val="00CB2ABB"/>
    <w:rsid w:val="00D73260"/>
    <w:rsid w:val="00D92D7E"/>
    <w:rsid w:val="00DC110B"/>
    <w:rsid w:val="00DD08B8"/>
    <w:rsid w:val="00DF4ECB"/>
    <w:rsid w:val="00E11570"/>
    <w:rsid w:val="00E27D64"/>
    <w:rsid w:val="00E67B61"/>
    <w:rsid w:val="00E876CD"/>
    <w:rsid w:val="00EB0FE6"/>
    <w:rsid w:val="00ED1BCB"/>
    <w:rsid w:val="00ED540F"/>
    <w:rsid w:val="00F1441D"/>
    <w:rsid w:val="00F54941"/>
    <w:rsid w:val="00F64B97"/>
    <w:rsid w:val="00F763F4"/>
    <w:rsid w:val="41805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批注框文本 Char"/>
    <w:basedOn w:val="6"/>
    <w:link w:val="2"/>
    <w:semiHidden/>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393</Words>
  <Characters>2243</Characters>
  <Lines>18</Lines>
  <Paragraphs>5</Paragraphs>
  <TotalTime>80</TotalTime>
  <ScaleCrop>false</ScaleCrop>
  <LinksUpToDate>false</LinksUpToDate>
  <CharactersWithSpaces>2631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2023-07-22T08:14:00Z</dcterms:created>
  <dc:creator>宋叔尼</dc:creator>
  <cp:lastModifiedBy>胡威</cp:lastModifiedBy>
  <dcterms:modified xsi:type="dcterms:W3CDTF">2023-07-24T03:46:34Z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ABAFE38CB79742108D6D5A6DC27977CF_13</vt:lpwstr>
  </property>
</Properties>
</file>