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jc w:val="center"/>
        <w:rPr>
          <w:b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2023年度统计数据核查指标项目</w:t>
      </w:r>
    </w:p>
    <w:bookmarkEnd w:id="0"/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一、学生数据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重点指标有在校生数、班额情况，通过对比学信网、高等教育质量监测国家数据平台等数据，结合在校学生花名册、学籍异动情况、收费情况、学生考勤登记表、学生变动情况等，核实教育事业统计报表中在校学生情况的真实性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二、教职工和专任教师数据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重点指标有教职工数、专任教师数、教师学历、专业技术职务、党员数等。通过对比全国教育管理信息系统、广东省教师工作平台（综合人才及职称评定系统）、广东省党务管理信息系统等数据，结合抽查教职工花名册、银行提供的工资发放流水、社保局提供的社保缴费名单、聘用合同、劳动合同、学历证书等佐证材料，核实教师数据的真实性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三、校园占地面积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重点指标有占地总面积、运动场地面积、绿化用地面积。核对学校不动产权证、土地使用证、建设用地规划许可证等材料，核实占地面积数据的真实性。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四、校舍建筑面积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重点指标有总建筑面积、实验室面积、图书馆面积、体育馆面积、学生宿舍面积。核对学校不动产权证、建设工程施工许可证、工程竣工验收证明材料等佐证材料，核实校舍建筑数据的真实性。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五、固定资产和教学仪器设备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重点指标有固定资产总值、教学仪器设备资产值、实验设备值。通过对比固定资产管理系统等数据，结合核对学校固定资产卡片、固定资产清单、新增设备调拨单、财务资产负债表等材料，核实资产数据的真实性。</w:t>
      </w:r>
    </w:p>
    <w:p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六、图书册数</w:t>
      </w:r>
    </w:p>
    <w:p>
      <w:pPr>
        <w:spacing w:line="56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通过核对学校图书馆馆藏记录、购书发票、新增调拨单、年度决算报表等材料，核实图书藏量的真实性。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35516B-ED5C-4B69-A29E-9FDC186D64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DEC1E84B-2653-44F2-96CA-5A1E78E30765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74BC8444-BFE5-48A6-908A-F2B63CA91A7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MTMwODYyNjIwNGQyMzY1YTIwZDE0NWE0YjU0OGMifQ=="/>
  </w:docVars>
  <w:rsids>
    <w:rsidRoot w:val="00000000"/>
    <w:rsid w:val="30500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615</Words>
  <Characters>618</Characters>
  <Lines>0</Lines>
  <Paragraphs>0</Paragraphs>
  <TotalTime>0</TotalTime>
  <ScaleCrop>false</ScaleCrop>
  <LinksUpToDate>false</LinksUpToDate>
  <CharactersWithSpaces>618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2023-07-19T03:37:51Z</dcterms:created>
  <dc:creator>13787</dc:creator>
  <cp:lastModifiedBy>胡威</cp:lastModifiedBy>
  <dcterms:modified xsi:type="dcterms:W3CDTF">2023-07-19T03:38:07Z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14CB74486BBE4A96B2BFEB4608EB92C3_12</vt:lpwstr>
  </property>
</Properties>
</file>