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891" w:firstLineChars="900"/>
        <w:rPr>
          <w:rFonts w:asciiTheme="majorEastAsia" w:hAnsiTheme="majorEastAsia" w:eastAsiaTheme="majorEastAsia" w:cstheme="majorEastAsia"/>
          <w:sz w:val="32"/>
          <w:szCs w:val="32"/>
        </w:rPr>
      </w:pPr>
      <w:r>
        <w:rPr>
          <w:rFonts w:hint="eastAsia" w:asciiTheme="majorEastAsia" w:hAnsiTheme="majorEastAsia" w:eastAsiaTheme="majorEastAsia" w:cstheme="majorEastAsia"/>
          <w:b/>
          <w:bCs/>
          <w:sz w:val="32"/>
          <w:szCs w:val="32"/>
        </w:rPr>
        <w:t>计算机系课程体系建设探究</w:t>
      </w:r>
    </w:p>
    <w:p>
      <w:pPr>
        <w:spacing w:line="360" w:lineRule="auto"/>
        <w:ind w:firstLine="4480" w:firstLineChars="1600"/>
        <w:rPr>
          <w:rFonts w:asciiTheme="minorEastAsia" w:hAnsiTheme="minorEastAsia" w:eastAsiaTheme="minorEastAsia" w:cstheme="minorEastAsia"/>
          <w:b/>
          <w:bCs/>
          <w:sz w:val="24"/>
        </w:rPr>
      </w:pPr>
      <w:r>
        <w:rPr>
          <w:rFonts w:hint="eastAsia" w:asciiTheme="minorEastAsia" w:hAnsiTheme="minorEastAsia" w:eastAsiaTheme="minorEastAsia"/>
          <w:sz w:val="28"/>
          <w:szCs w:val="28"/>
        </w:rPr>
        <w:t xml:space="preserve">                  </w:t>
      </w:r>
      <w:bookmarkStart w:id="0" w:name="_GoBack"/>
      <w:bookmarkEnd w:id="0"/>
      <w:r>
        <w:rPr>
          <w:rFonts w:hint="eastAsia" w:asciiTheme="minorEastAsia" w:hAnsiTheme="minorEastAsia" w:eastAsiaTheme="minorEastAsia" w:cstheme="minorEastAsia"/>
          <w:b/>
          <w:bCs/>
          <w:sz w:val="24"/>
        </w:rPr>
        <w:t>——廖金祥</w:t>
      </w:r>
    </w:p>
    <w:p>
      <w:pPr>
        <w:pStyle w:val="4"/>
        <w:numPr>
          <w:ilvl w:val="0"/>
          <w:numId w:val="1"/>
        </w:numPr>
        <w:spacing w:line="360" w:lineRule="auto"/>
        <w:ind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课程体系建设概念</w:t>
      </w:r>
    </w:p>
    <w:p>
      <w:pPr>
        <w:spacing w:line="360" w:lineRule="auto"/>
        <w:ind w:firstLine="420"/>
        <w:rPr>
          <w:rFonts w:asciiTheme="minorEastAsia" w:hAnsiTheme="minorEastAsia" w:eastAsiaTheme="minorEastAsia" w:cstheme="minorEastAsia"/>
          <w:color w:val="333333"/>
          <w:sz w:val="24"/>
          <w:shd w:val="clear" w:color="auto" w:fill="FFFFFF"/>
        </w:rPr>
      </w:pPr>
      <w:r>
        <w:rPr>
          <w:rFonts w:hint="eastAsia" w:asciiTheme="minorEastAsia" w:hAnsiTheme="minorEastAsia" w:eastAsiaTheme="minorEastAsia" w:cstheme="minorEastAsia"/>
          <w:sz w:val="24"/>
        </w:rPr>
        <w:t>在高等学校，学科、专业、课程是永恒的话题，其中最重要的是课程体系建设。课程体系是连接专业和课程之间的桥梁。课程体系是指在一定的教育价值理念指导下，将课程的各个构成要素进行科学合理地组合，使各个课程要素在教学过程中统一指向该课程体系的目标的若干课程的集合。课程体系是实现专业培养目标的载体,</w:t>
      </w:r>
      <w:r>
        <w:rPr>
          <w:rFonts w:hint="eastAsia" w:asciiTheme="minorEastAsia" w:hAnsiTheme="minorEastAsia" w:eastAsiaTheme="minorEastAsia" w:cstheme="minorEastAsia"/>
          <w:color w:val="333333"/>
          <w:sz w:val="24"/>
          <w:shd w:val="clear" w:color="auto" w:fill="FFFFFF"/>
        </w:rPr>
        <w:t xml:space="preserve"> 是培养目标的具体化和依托，</w:t>
      </w:r>
      <w:r>
        <w:rPr>
          <w:rFonts w:hint="eastAsia" w:asciiTheme="minorEastAsia" w:hAnsiTheme="minorEastAsia" w:eastAsiaTheme="minorEastAsia" w:cstheme="minorEastAsia"/>
          <w:sz w:val="24"/>
        </w:rPr>
        <w:t>是保障和提高教学质量的关键。</w:t>
      </w:r>
      <w:r>
        <w:rPr>
          <w:rFonts w:hint="eastAsia" w:asciiTheme="minorEastAsia" w:hAnsiTheme="minorEastAsia" w:eastAsiaTheme="minorEastAsia" w:cstheme="minorEastAsia"/>
          <w:color w:val="333333"/>
          <w:sz w:val="24"/>
          <w:shd w:val="clear" w:color="auto" w:fill="FFFFFF"/>
        </w:rPr>
        <w:t>课程体系主要由特定的课程理念、课程目标、课程内容、课程结构和课程活动方式所组成。</w:t>
      </w:r>
    </w:p>
    <w:p>
      <w:pPr>
        <w:pStyle w:val="4"/>
        <w:numPr>
          <w:ilvl w:val="0"/>
          <w:numId w:val="1"/>
        </w:numPr>
        <w:spacing w:line="360" w:lineRule="auto"/>
        <w:ind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计算机系课程体系建设的短期目标</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计算机系现有的“计算机科学与技术”、“网络工程”、“数字媒体技术”三个专业隶属于计算机学科，在当今科技和产业呈现学科专业交融的大趋势下，不但是专业基础课大致相同，而且原来的专业性强的选修课也应该在专业之间相互渗透。即是说，计算机学科下的各个专业的界线变得模糊起来，比如移动互联网就是网络工程和通信工程专业的交叉，物联网技术是移动网络、嵌入式系统、传感技术、程序设计技术的集合，大数据处理离不开云（网络）计算，新一代人工智能技术又是集数学模型、大数据处理技术、神经网络技术、传感技术、虚拟现实（VR）技术、电子技术、机械制造技术之大成。</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上述大背景下，计算机系的培养目标是应用型人才并着眼于学生就业，在课程体系建设的常规范围内，计算机系的课程建设具有如下特征：第一是每一个课程体系至少指向一个就业目标；第二是一门课程可以隶属于不同的课程体系；第三是课程体系中的课程可以来自于不同的专业。</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故此，计算机系课程体系建设的具体目标如下：</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（一）课程体系目标：</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1、软件开发课程体系：中小型信息管理系统开发。</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2、移动商务技术课程体系：移动商务网站建设,移动智能终端开发。</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3、网络工程课程体系：网络工程主要是移动网络工程实施</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4、网络安全课程体系：信息安全平台构建</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5、嵌入式系统课程体系：简单嵌入式电子产品设计与制作。</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6、数字媒体广告课程体系：数字媒体技术广告与会展、影视作品后期制作。</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7、软件测试课程体系：软件测试与评价。</w:t>
      </w:r>
    </w:p>
    <w:p>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（二）课程体系中的课程质量目标：</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1、每一课程体系中建成一门优质或精品课程</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2、每一课程体系中设置一门综合实践课程</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3、每一课程体系中包含1-2门职业资格技术证书培训课程</w:t>
      </w:r>
    </w:p>
    <w:p>
      <w:pPr>
        <w:pStyle w:val="4"/>
        <w:numPr>
          <w:ilvl w:val="0"/>
          <w:numId w:val="1"/>
        </w:numPr>
        <w:spacing w:line="360" w:lineRule="auto"/>
        <w:ind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计算机系课程体系建设基于的条件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民办高校与公办高校之间的差距不是某一方面或某几个方面, 是全方位的。其中首要的就是教学资源差距，故此，在课程体系建设时应该“有所为有所不为”，下面分析一下计算机系当前的教学资源条件：</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（一）授课的客观资源</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1、课程学时少，受民办学校体制和经费的限制，课程的课时普遍偏少，从2012年之后大部分课程都是48学时，这与现有的学生学习资质和学习态度不匹配。</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2、教材适用性差</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少有适合于计算机系学生层次的教材，学校鼓励选用国家规划教材，规划教材一般都是知名高校编写，理论性强、层次较高，不太适合于培养应用型人才。</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3、实验设备投入不足</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由于民办高校经费不足，实验设备投入方面历史欠账太多。虽然近一年来有所改善，但还需假以时日。</w:t>
      </w:r>
    </w:p>
    <w:p>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（二）学生的学习条件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1、学习资质</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由于计算机类学科讲究逻辑思维，对数学功底要求较高，民办学校生源相当一部分不太适应就读本学科。加之2017年开始大幅度扩招，其生源条件将更差。</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以下就广东培正学院近三年新生进校分数线进行分析：</w:t>
      </w:r>
    </w:p>
    <w:p>
      <w:pPr>
        <w:spacing w:line="360" w:lineRule="auto"/>
        <w:ind w:firstLine="1205" w:firstLineChars="5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广东培正学院2015-2017新生进校实际最高最低分一览表</w:t>
      </w:r>
    </w:p>
    <w:tbl>
      <w:tblPr>
        <w:tblStyle w:val="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709"/>
        <w:gridCol w:w="709"/>
        <w:gridCol w:w="709"/>
        <w:gridCol w:w="708"/>
        <w:gridCol w:w="709"/>
        <w:gridCol w:w="709"/>
        <w:gridCol w:w="709"/>
        <w:gridCol w:w="708"/>
        <w:gridCol w:w="70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 w:hRule="atLeast"/>
        </w:trPr>
        <w:tc>
          <w:tcPr>
            <w:tcW w:w="1242" w:type="dxa"/>
            <w:vMerge w:val="restart"/>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学科名称</w:t>
            </w:r>
          </w:p>
        </w:tc>
        <w:tc>
          <w:tcPr>
            <w:tcW w:w="2127" w:type="dxa"/>
            <w:gridSpan w:val="3"/>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2015年</w:t>
            </w:r>
          </w:p>
        </w:tc>
        <w:tc>
          <w:tcPr>
            <w:tcW w:w="2126" w:type="dxa"/>
            <w:gridSpan w:val="3"/>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2016年</w:t>
            </w:r>
          </w:p>
        </w:tc>
        <w:tc>
          <w:tcPr>
            <w:tcW w:w="2126" w:type="dxa"/>
            <w:gridSpan w:val="3"/>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2017年（录取分）</w:t>
            </w:r>
          </w:p>
        </w:tc>
        <w:tc>
          <w:tcPr>
            <w:tcW w:w="1276"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60" w:hRule="atLeast"/>
        </w:trPr>
        <w:tc>
          <w:tcPr>
            <w:tcW w:w="1242" w:type="dxa"/>
            <w:vMerge w:val="continue"/>
            <w:vAlign w:val="center"/>
          </w:tcPr>
          <w:p>
            <w:pPr>
              <w:spacing w:line="360" w:lineRule="auto"/>
              <w:jc w:val="center"/>
              <w:rPr>
                <w:rFonts w:asciiTheme="minorEastAsia" w:hAnsiTheme="minorEastAsia" w:eastAsiaTheme="minorEastAsia" w:cstheme="minorEastAsia"/>
                <w:sz w:val="24"/>
              </w:rPr>
            </w:pPr>
          </w:p>
        </w:tc>
        <w:tc>
          <w:tcPr>
            <w:tcW w:w="709"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最高分</w:t>
            </w:r>
          </w:p>
        </w:tc>
        <w:tc>
          <w:tcPr>
            <w:tcW w:w="709"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最低分</w:t>
            </w:r>
          </w:p>
        </w:tc>
        <w:tc>
          <w:tcPr>
            <w:tcW w:w="709"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平均分</w:t>
            </w:r>
          </w:p>
        </w:tc>
        <w:tc>
          <w:tcPr>
            <w:tcW w:w="708"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最高分</w:t>
            </w:r>
          </w:p>
        </w:tc>
        <w:tc>
          <w:tcPr>
            <w:tcW w:w="709"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最低分</w:t>
            </w:r>
          </w:p>
        </w:tc>
        <w:tc>
          <w:tcPr>
            <w:tcW w:w="709"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平均分</w:t>
            </w:r>
          </w:p>
        </w:tc>
        <w:tc>
          <w:tcPr>
            <w:tcW w:w="709"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最高分</w:t>
            </w:r>
          </w:p>
        </w:tc>
        <w:tc>
          <w:tcPr>
            <w:tcW w:w="708"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最低分</w:t>
            </w:r>
          </w:p>
        </w:tc>
        <w:tc>
          <w:tcPr>
            <w:tcW w:w="709" w:type="dxa"/>
            <w:textDirection w:val="tbRlV"/>
            <w:vAlign w:val="center"/>
          </w:tcPr>
          <w:p>
            <w:pPr>
              <w:spacing w:line="360" w:lineRule="auto"/>
              <w:ind w:left="113" w:right="113"/>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平均分</w:t>
            </w:r>
          </w:p>
        </w:tc>
        <w:tc>
          <w:tcPr>
            <w:tcW w:w="1276" w:type="dxa"/>
            <w:vAlign w:val="center"/>
          </w:tcPr>
          <w:p>
            <w:pPr>
              <w:spacing w:line="360" w:lineRule="auto"/>
              <w:jc w:val="center"/>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trPr>
        <w:tc>
          <w:tcPr>
            <w:tcW w:w="1242"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全校</w:t>
            </w:r>
          </w:p>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文科类</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532</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485</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495</w:t>
            </w:r>
          </w:p>
        </w:tc>
        <w:tc>
          <w:tcPr>
            <w:tcW w:w="7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475</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431</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438</w:t>
            </w:r>
          </w:p>
        </w:tc>
        <w:tc>
          <w:tcPr>
            <w:tcW w:w="709" w:type="dxa"/>
            <w:vAlign w:val="center"/>
          </w:tcPr>
          <w:p>
            <w:pPr>
              <w:spacing w:line="360" w:lineRule="auto"/>
              <w:jc w:val="center"/>
              <w:rPr>
                <w:rFonts w:asciiTheme="minorEastAsia" w:hAnsiTheme="minorEastAsia" w:eastAsiaTheme="minorEastAsia" w:cstheme="minorEastAsia"/>
                <w:b/>
                <w:color w:val="002060"/>
                <w:sz w:val="24"/>
                <w:shd w:val="pct10" w:color="auto" w:fill="FFFFFF"/>
              </w:rPr>
            </w:pPr>
            <w:r>
              <w:rPr>
                <w:rFonts w:hint="eastAsia" w:asciiTheme="minorEastAsia" w:hAnsiTheme="minorEastAsia" w:eastAsiaTheme="minorEastAsia" w:cstheme="minorEastAsia"/>
                <w:b/>
                <w:color w:val="002060"/>
                <w:sz w:val="24"/>
                <w:shd w:val="pct10" w:color="auto" w:fill="FFFFFF"/>
              </w:rPr>
              <w:t>484</w:t>
            </w:r>
          </w:p>
        </w:tc>
        <w:tc>
          <w:tcPr>
            <w:tcW w:w="708" w:type="dxa"/>
            <w:vAlign w:val="center"/>
          </w:tcPr>
          <w:p>
            <w:pPr>
              <w:spacing w:line="360" w:lineRule="auto"/>
              <w:jc w:val="center"/>
              <w:rPr>
                <w:rFonts w:asciiTheme="minorEastAsia" w:hAnsiTheme="minorEastAsia" w:eastAsiaTheme="minorEastAsia" w:cstheme="minorEastAsia"/>
                <w:b/>
                <w:color w:val="002060"/>
                <w:sz w:val="24"/>
                <w:shd w:val="pct10" w:color="auto" w:fill="FFFFFF"/>
              </w:rPr>
            </w:pPr>
            <w:r>
              <w:rPr>
                <w:rFonts w:hint="eastAsia" w:asciiTheme="minorEastAsia" w:hAnsiTheme="minorEastAsia" w:eastAsiaTheme="minorEastAsia" w:cstheme="minorEastAsia"/>
                <w:b/>
                <w:color w:val="002060"/>
                <w:sz w:val="24"/>
                <w:shd w:val="pct10" w:color="auto" w:fill="FFFFFF"/>
              </w:rPr>
              <w:t>433</w:t>
            </w:r>
          </w:p>
        </w:tc>
        <w:tc>
          <w:tcPr>
            <w:tcW w:w="709" w:type="dxa"/>
            <w:vAlign w:val="center"/>
          </w:tcPr>
          <w:p>
            <w:pPr>
              <w:spacing w:line="360" w:lineRule="auto"/>
              <w:jc w:val="center"/>
              <w:rPr>
                <w:rFonts w:asciiTheme="minorEastAsia" w:hAnsiTheme="minorEastAsia" w:eastAsiaTheme="minorEastAsia" w:cstheme="minorEastAsia"/>
                <w:b/>
                <w:color w:val="FF0000"/>
                <w:sz w:val="24"/>
                <w:shd w:val="pct10" w:color="auto" w:fill="FFFFFF"/>
              </w:rPr>
            </w:pPr>
            <w:r>
              <w:rPr>
                <w:rFonts w:hint="eastAsia" w:asciiTheme="minorEastAsia" w:hAnsiTheme="minorEastAsia" w:eastAsiaTheme="minorEastAsia" w:cstheme="minorEastAsia"/>
                <w:b/>
                <w:color w:val="FF0000"/>
                <w:sz w:val="24"/>
                <w:shd w:val="pct10" w:color="auto" w:fill="FFFFFF"/>
              </w:rPr>
              <w:t>440</w:t>
            </w:r>
          </w:p>
        </w:tc>
        <w:tc>
          <w:tcPr>
            <w:tcW w:w="1276" w:type="dxa"/>
            <w:vAlign w:val="center"/>
          </w:tcPr>
          <w:p>
            <w:pPr>
              <w:spacing w:line="360" w:lineRule="auto"/>
              <w:jc w:val="center"/>
              <w:rPr>
                <w:rFonts w:asciiTheme="minorEastAsia" w:hAnsiTheme="minorEastAsia" w:eastAsiaTheme="minorEastAsia" w:cs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atLeast"/>
        </w:trPr>
        <w:tc>
          <w:tcPr>
            <w:tcW w:w="1242"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计算机系</w:t>
            </w:r>
          </w:p>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理科类</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520</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594</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498</w:t>
            </w:r>
          </w:p>
        </w:tc>
        <w:tc>
          <w:tcPr>
            <w:tcW w:w="708"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455</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418</w:t>
            </w:r>
          </w:p>
        </w:tc>
        <w:tc>
          <w:tcPr>
            <w:tcW w:w="709" w:type="dxa"/>
            <w:vAlign w:val="center"/>
          </w:tcPr>
          <w:p>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424</w:t>
            </w:r>
          </w:p>
        </w:tc>
        <w:tc>
          <w:tcPr>
            <w:tcW w:w="709" w:type="dxa"/>
            <w:vAlign w:val="center"/>
          </w:tcPr>
          <w:p>
            <w:pPr>
              <w:spacing w:line="360" w:lineRule="auto"/>
              <w:jc w:val="center"/>
              <w:rPr>
                <w:rFonts w:asciiTheme="minorEastAsia" w:hAnsiTheme="minorEastAsia" w:eastAsiaTheme="minorEastAsia" w:cstheme="minorEastAsia"/>
                <w:b/>
                <w:color w:val="C00000"/>
                <w:sz w:val="24"/>
                <w:shd w:val="pct10" w:color="auto" w:fill="FFFFFF"/>
              </w:rPr>
            </w:pPr>
            <w:r>
              <w:rPr>
                <w:rFonts w:hint="eastAsia" w:asciiTheme="minorEastAsia" w:hAnsiTheme="minorEastAsia" w:eastAsiaTheme="minorEastAsia" w:cstheme="minorEastAsia"/>
                <w:b/>
                <w:color w:val="C00000"/>
                <w:sz w:val="24"/>
                <w:shd w:val="pct10" w:color="auto" w:fill="FFFFFF"/>
              </w:rPr>
              <w:t>434</w:t>
            </w:r>
          </w:p>
        </w:tc>
        <w:tc>
          <w:tcPr>
            <w:tcW w:w="708" w:type="dxa"/>
            <w:vAlign w:val="center"/>
          </w:tcPr>
          <w:p>
            <w:pPr>
              <w:spacing w:line="360" w:lineRule="auto"/>
              <w:jc w:val="center"/>
              <w:rPr>
                <w:rFonts w:asciiTheme="minorEastAsia" w:hAnsiTheme="minorEastAsia" w:eastAsiaTheme="minorEastAsia" w:cstheme="minorEastAsia"/>
                <w:b/>
                <w:color w:val="C00000"/>
                <w:sz w:val="24"/>
                <w:shd w:val="pct10" w:color="auto" w:fill="FFFFFF"/>
              </w:rPr>
            </w:pPr>
            <w:r>
              <w:rPr>
                <w:rFonts w:hint="eastAsia" w:asciiTheme="minorEastAsia" w:hAnsiTheme="minorEastAsia" w:eastAsiaTheme="minorEastAsia" w:cstheme="minorEastAsia"/>
                <w:b/>
                <w:color w:val="C00000"/>
                <w:sz w:val="24"/>
                <w:shd w:val="pct10" w:color="auto" w:fill="FFFFFF"/>
              </w:rPr>
              <w:t>381</w:t>
            </w:r>
          </w:p>
        </w:tc>
        <w:tc>
          <w:tcPr>
            <w:tcW w:w="709" w:type="dxa"/>
            <w:vAlign w:val="center"/>
          </w:tcPr>
          <w:p>
            <w:pPr>
              <w:spacing w:line="360" w:lineRule="auto"/>
              <w:jc w:val="center"/>
              <w:rPr>
                <w:rFonts w:asciiTheme="minorEastAsia" w:hAnsiTheme="minorEastAsia" w:eastAsiaTheme="minorEastAsia" w:cstheme="minorEastAsia"/>
                <w:b/>
                <w:color w:val="C00000"/>
                <w:sz w:val="24"/>
                <w:shd w:val="pct10" w:color="auto" w:fill="FFFFFF"/>
              </w:rPr>
            </w:pPr>
            <w:r>
              <w:rPr>
                <w:rFonts w:hint="eastAsia" w:asciiTheme="minorEastAsia" w:hAnsiTheme="minorEastAsia" w:eastAsiaTheme="minorEastAsia" w:cstheme="minorEastAsia"/>
                <w:b/>
                <w:color w:val="C00000"/>
                <w:sz w:val="24"/>
                <w:shd w:val="pct10" w:color="auto" w:fill="FFFFFF"/>
              </w:rPr>
              <w:t>390</w:t>
            </w:r>
          </w:p>
        </w:tc>
        <w:tc>
          <w:tcPr>
            <w:tcW w:w="1276" w:type="dxa"/>
            <w:vAlign w:val="center"/>
          </w:tcPr>
          <w:p>
            <w:pPr>
              <w:spacing w:line="360" w:lineRule="auto"/>
              <w:jc w:val="center"/>
              <w:rPr>
                <w:rFonts w:asciiTheme="minorEastAsia" w:hAnsiTheme="minorEastAsia" w:eastAsiaTheme="minorEastAsia" w:cstheme="minorEastAsia"/>
                <w:b/>
                <w:sz w:val="24"/>
              </w:rPr>
            </w:pPr>
          </w:p>
        </w:tc>
      </w:tr>
    </w:tbl>
    <w:p>
      <w:pPr>
        <w:spacing w:line="360" w:lineRule="auto"/>
        <w:rPr>
          <w:rFonts w:asciiTheme="minorEastAsia" w:hAnsiTheme="minorEastAsia" w:eastAsiaTheme="minorEastAsia" w:cstheme="minorEastAsia"/>
          <w:sz w:val="24"/>
        </w:rPr>
      </w:pP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从表中可以看出，培正学院文、理科学生进校分数线逐年拉大，到2017年已经拉开了50分之多。事实上，被扩招进来的学生就是往年的高职档次的学生。</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今后就是面对这样的生源，就必须降低教学起点，否则，若大批量学生课程不能及格，影响毕业率，将与民办学校办学宗旨相违背。</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2、专业思想不稳定</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从2017新生进校第一志愿录取比例来看，可以初步得出学生的专业思想将不太稳定。</w:t>
      </w:r>
    </w:p>
    <w:p>
      <w:pPr>
        <w:spacing w:line="360" w:lineRule="auto"/>
        <w:ind w:firstLine="1440" w:firstLineChars="6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招生计划      第一志愿录取人数        比例</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计科：     398              289                74%</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网工：     250               73                29%</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数媒：     220               57                26%</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3、学生学习不努力</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学生学习资质较差，本应“笨鸟先飞”才可以“勤能补拙”。然而，大多数学生学习自信心不足，学习被动式、不努力。比如：上课玩手机、不上晚自习等等，这些都是“硬伤”。</w:t>
      </w:r>
    </w:p>
    <w:p>
      <w:pPr>
        <w:spacing w:line="360" w:lineRule="auto"/>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（三）师资队伍存在很大问题</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1、师资队伍不稳定</w:t>
      </w:r>
    </w:p>
    <w:p>
      <w:pPr>
        <w:spacing w:line="360" w:lineRule="auto"/>
        <w:ind w:firstLine="840" w:firstLineChars="3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队伍不稳定影响课程主讲老师的配置，形成不了相对固定的课程组，不能进行好的教研活动，对课程质量是致命的影响。</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2、教师缺乏对职业、对学校的归宿感</w:t>
      </w:r>
    </w:p>
    <w:p>
      <w:pPr>
        <w:spacing w:line="360" w:lineRule="auto"/>
        <w:ind w:firstLine="840" w:firstLineChars="3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教师缺乏上述归宿感直接导致教师不敬业，时间和精力投入少。</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3、现有教师质量不高</w:t>
      </w:r>
    </w:p>
    <w:p>
      <w:pPr>
        <w:spacing w:line="360" w:lineRule="auto"/>
        <w:ind w:firstLine="840" w:firstLineChars="3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缺乏学术水平较高、实践能力较强的教师，双师型教师急待充实。</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四．计算机系课程体系建设的措施</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在课程体系建设时明确了目标，客观分析并认清了办学条件，将采取如下措施：</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（一）突出“综合实践课程”的地位与作用</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由于每个课程体系设置了一门“综合实践课程”，其作用和地位必须得到凸显。</w:t>
      </w:r>
    </w:p>
    <w:p>
      <w:pPr>
        <w:spacing w:line="360" w:lineRule="auto"/>
        <w:ind w:firstLine="600" w:firstLineChars="2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1、“综合实践课程”驱动课程体系的教学</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依据课程体系的培养目标，将支撑目标所需的教学内容归结为若干“知识技术节点”，将这些“知识技术节点”落实到体系中各门课程中。任课教师各司其职，搞好自己的教学工作。若发现综合实践课程中所需的“知识技术节点”遗漏或质量差，综合实践课程任课老师进行检查督促并报备系领导。</w:t>
      </w:r>
    </w:p>
    <w:p>
      <w:pPr>
        <w:spacing w:line="360" w:lineRule="auto"/>
        <w:ind w:firstLine="600" w:firstLineChars="2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2、“综合实践课程”教学内容由项目模块化构成</w:t>
      </w:r>
    </w:p>
    <w:p>
      <w:pPr>
        <w:spacing w:line="360" w:lineRule="auto"/>
        <w:ind w:firstLine="960" w:firstLineChars="4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为了取得好的教学效果，综合实践课程可以按照学时、学分分割成若干个“教学项目”。这些项目课题可从二方面征集：一是从教师的科研经历中征集，二是从企业已经做成功的项目案例中征集</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（二）“职业资格技术证书培训课”纳入课程体系</w:t>
      </w:r>
    </w:p>
    <w:p>
      <w:pPr>
        <w:spacing w:line="360" w:lineRule="auto"/>
        <w:ind w:firstLine="840" w:firstLineChars="3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对创业就业导向模块中的“职业技术资格证书”课程内容进行优化。已经拥有各类“职业技术资格证书”的老师积极担任这类课程的教学任务，必要时聘请企业工程师任课。</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（三）深度进行校企协同培养</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课程体系建设离不开校企协同培养，校企深度合作更是事半功倍，如：工程师进“综合实践课程”课堂任课；期末第18周设置实训周，由企业工程师对学生进行岗位实训。</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(四）逐步形成课程组，建立课程责任制</w:t>
      </w:r>
    </w:p>
    <w:p>
      <w:pPr>
        <w:spacing w:line="360" w:lineRule="auto"/>
        <w:ind w:firstLine="840" w:firstLineChars="3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由于近年来计算机系扩招，同一年级的班级多，很多课程（特别是必修课）一门课需要3~4个老师担任，这就具备建立课程组的条件，固定的课程组对于提高教学质量并减轻教师教学负担大有补益。切磋教艺、统一考试，如此能大大提高效率。</w:t>
      </w:r>
    </w:p>
    <w:p>
      <w:pPr>
        <w:spacing w:line="360" w:lineRule="auto"/>
        <w:ind w:firstLine="43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有了课程组，就可以逐步形成“课程负责人”，最终建立“课程责任制”，进而建成的优质课程和精品课程，这才是内涵式发展。</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（五）编写适合计算机系培养应用型人才的教材</w:t>
      </w:r>
    </w:p>
    <w:p>
      <w:pPr>
        <w:spacing w:line="360" w:lineRule="auto"/>
        <w:ind w:firstLine="960" w:firstLineChars="4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以前，尽管个别教师经过多年的教学积淀，有出版符合实际教学需要教材的愿望，但是不满足出版条件，始终不能出版，如今随着计算机系扩招，出版自己使用教材的愿望可以实现。计算机系已经出台了“计算机系专业教材出版管理办法”，为教师积极编写好教材开绿灯。</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（六）积极探索新的课程考核模式</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课程考核环节是我们培正学院最薄弱环节之一，在大力培养应用型人才背景下，课程体系建设已经进行了改革，而考核环节又是检验课程体系建设成败的一把尺子。显然，传统的考试考查模式已经不能适应了，课程考核模式和方法的改革迫在眉睫。准备在如下几个方面进行探索： </w:t>
      </w:r>
    </w:p>
    <w:p>
      <w:pPr>
        <w:spacing w:line="360" w:lineRule="auto"/>
        <w:ind w:firstLine="43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1、“综合实践课程”首先进行考核方式改革</w:t>
      </w:r>
    </w:p>
    <w:p>
      <w:pPr>
        <w:spacing w:line="360" w:lineRule="auto"/>
        <w:ind w:firstLine="43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这方面已经有过探索，“网络工程综合实践”和“网络安全综合实践”两门课程在2016-17-1学期已经进行了课程考核方式的试点。</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1、实训周计算学分</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本学期期中，东软睿道公司进校开展了一周的项目实训，取得了一些经验，在此基础上，从下学期开始试行期末18周实训，计划开展两个班。聘请企业工程师担任实训教师，本系教师参与协助并熟悉工程项目，经过企业考核并通过的学生承认其学分。</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2、学科竞赛计算学分</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对于省级及以上级别的学科竞赛获奖的学生，积极探索承认其相应专业选修课学分的办法，鼓励广大学生积极参与，提高学习积极性。</w:t>
      </w:r>
    </w:p>
    <w:p>
      <w:pPr>
        <w:spacing w:line="360" w:lineRule="auto"/>
        <w:ind w:firstLine="43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3、取得职业技术资格证书折算学分</w:t>
      </w:r>
    </w:p>
    <w:p>
      <w:pPr>
        <w:spacing w:line="360" w:lineRule="auto"/>
        <w:ind w:firstLine="840" w:firstLineChars="3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对于取得二级及以上专业技术资格证书的学生，积极探索承认其相应专业选修课学分的办法，由此引入行业技术标准，加大培养应用型人才的力度，为国家即将开始对高校专业进行的“专业评估”做准备。  </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五．计算机系课程体系建设前景展望</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三年至五年内，计算机系将有条件建成如下几个课程体系：</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1、软件项目管理课程体系：软件销售与售后服务</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2、物联网应用课程体系：智能家居销售、维护与工程实施</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3、虚拟现实应用课程体系</w:t>
      </w:r>
    </w:p>
    <w:p>
      <w:pPr>
        <w:spacing w:line="360" w:lineRule="auto"/>
        <w:ind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4、大数据处理和人工智能课程体系</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245569"/>
    <w:multiLevelType w:val="multilevel"/>
    <w:tmpl w:val="5E245569"/>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3C6C4D"/>
    <w:rsid w:val="1A3C6C4D"/>
    <w:rsid w:val="3DD1533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列出段落2"/>
    <w:basedOn w:val="1"/>
    <w:qFormat/>
    <w:uiPriority w:val="0"/>
    <w:pPr>
      <w:ind w:firstLine="420" w:firstLineChars="200"/>
    </w:pPr>
    <w:rPr>
      <w:rFonts w:ascii="Calibri" w:hAnsi="Calibri"/>
      <w:szCs w:val="22"/>
    </w:rPr>
  </w:style>
  <w:style w:type="table" w:customStyle="1" w:styleId="5">
    <w:name w:val="网格型1"/>
    <w:basedOn w:val="3"/>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2018-04-23T03:31:00Z</dcterms:created>
  <dc:creator>慧</dc:creator>
  <cp:lastModifiedBy>慧</cp:lastModifiedBy>
  <dcterms:modified xsi:type="dcterms:W3CDTF">2018-04-23T03:32:57Z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2052-10.1.0.7223</vt:lpwstr>
  </property>
</Properties>
</file>