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6362" w:type="dxa"/>
        <w:jc w:val="center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0" w:hRule="atLeast"/>
          <w:tblCellSpacing w:w="15" w:type="dxa"/>
          <w:jc w:val="center"/>
        </w:trPr>
        <w:tc>
          <w:tcPr>
            <w:tcW w:w="16302" w:type="dxa"/>
            <w:shd w:val="clear"/>
            <w:vAlign w:val="center"/>
          </w:tcPr>
          <w:tbl>
            <w:tblPr>
              <w:tblW w:w="16271" w:type="dxa"/>
              <w:tblCellSpacing w:w="1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190"/>
              <w:gridCol w:w="8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16145" w:type="dxa"/>
                  <w:shd w:val="clear"/>
                  <w:vAlign w:val="center"/>
                </w:tcPr>
                <w:tbl>
                  <w:tblPr>
                    <w:tblW w:w="15897" w:type="dxa"/>
                    <w:tblCellSpacing w:w="15" w:type="dxa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15897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15837" w:type="dxa"/>
                        <w:shd w:val="clear"/>
                        <w:vAlign w:val="center"/>
                      </w:tcPr>
                      <w:tbl>
                        <w:tblPr>
                          <w:tblW w:w="15806" w:type="dxa"/>
                          <w:tblCellSpacing w:w="15" w:type="dxa"/>
                          <w:tblInd w:w="0" w:type="dxa"/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</w:tblPr>
                        <w:tblGrid>
                          <w:gridCol w:w="15806"/>
                        </w:tblGrid>
                        <w:tr>
                          <w:tblPrEx>
                            <w:tbl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insideH w:val="none" w:color="auto" w:sz="0" w:space="0"/>
                              <w:insideV w:val="none" w:color="auto" w:sz="0" w:space="0"/>
                            </w:tblBorders>
                            <w:shd w:val="clear"/>
                            <w:tblLayout w:type="fixed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15746" w:type="dxa"/>
                              <w:shd w:val="clear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wordWrap w:val="0"/>
                                <w:spacing w:before="312" w:beforeLines="100" w:beforeAutospacing="0" w:after="156" w:afterLines="50" w:afterAutospacing="0"/>
                                <w:ind w:left="0" w:right="0"/>
                                <w:jc w:val="center"/>
                                <w:rPr>
                                  <w:b/>
                                  <w:bCs w:val="0"/>
                                  <w:sz w:val="40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b/>
                                  <w:bCs w:val="0"/>
                                  <w:kern w:val="0"/>
                                  <w:sz w:val="40"/>
                                  <w:szCs w:val="22"/>
                                  <w:lang w:val="en-US" w:eastAsia="zh-CN" w:bidi="ar"/>
                                </w:rPr>
                                <w:t>附件：广东培正学院新设本科专业基本建设情况一览表</w:t>
                              </w:r>
                            </w:p>
                            <w:tbl>
                              <w:tblPr>
                                <w:tblpPr w:leftFromText="180" w:rightFromText="180" w:vertAnchor="text" w:horzAnchor="page" w:tblpX="182" w:tblpY="877"/>
                                <w:tblOverlap w:val="never"/>
                                <w:tblW w:w="15735" w:type="dxa"/>
                                <w:tblInd w:w="0" w:type="dxa"/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>
                              <w:tblGrid>
                                <w:gridCol w:w="566"/>
                                <w:gridCol w:w="1124"/>
                                <w:gridCol w:w="709"/>
                                <w:gridCol w:w="706"/>
                                <w:gridCol w:w="709"/>
                                <w:gridCol w:w="845"/>
                                <w:gridCol w:w="708"/>
                                <w:gridCol w:w="845"/>
                                <w:gridCol w:w="1267"/>
                                <w:gridCol w:w="982"/>
                                <w:gridCol w:w="458"/>
                                <w:gridCol w:w="458"/>
                                <w:gridCol w:w="566"/>
                                <w:gridCol w:w="458"/>
                                <w:gridCol w:w="1967"/>
                                <w:gridCol w:w="982"/>
                                <w:gridCol w:w="985"/>
                                <w:gridCol w:w="1400"/>
                              </w:tblGrid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shd w:val="clear"/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499" w:hRule="atLeast"/>
                                  <w:tblHeader/>
                                </w:trPr>
                                <w:tc>
                                  <w:tcPr>
                                    <w:tcW w:w="566" w:type="dxa"/>
                                    <w:vMerge w:val="restart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序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号</w:t>
                                    </w:r>
                                  </w:p>
                                </w:tc>
                                <w:tc>
                                  <w:tcPr>
                                    <w:tcW w:w="1124" w:type="dxa"/>
                                    <w:vMerge w:val="restart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专业名称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vMerge w:val="restart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开始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招生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年份</w:t>
                                    </w:r>
                                  </w:p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毕业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生数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vMerge w:val="restart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专业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学生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总数</w:t>
                                    </w:r>
                                  </w:p>
                                </w:tc>
                                <w:tc>
                                  <w:tcPr>
                                    <w:tcW w:w="3665" w:type="dxa"/>
                                    <w:gridSpan w:val="4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专业负责人</w:t>
                                    </w:r>
                                  </w:p>
                                </w:tc>
                                <w:tc>
                                  <w:tcPr>
                                    <w:tcW w:w="4889" w:type="dxa"/>
                                    <w:gridSpan w:val="6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教师队伍状况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vMerge w:val="restart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实践基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地数量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及效果</w:t>
                                    </w:r>
                                  </w:p>
                                </w:tc>
                                <w:tc>
                                  <w:tcPr>
                                    <w:tcW w:w="985" w:type="dxa"/>
                                    <w:vMerge w:val="restart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实验室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数量</w:t>
                                    </w:r>
                                  </w:p>
                                </w:tc>
                                <w:tc>
                                  <w:tcPr>
                                    <w:tcW w:w="1400" w:type="dxa"/>
                                    <w:vMerge w:val="restart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注</w:t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549" w:hRule="atLeast"/>
                                  <w:tblHeader/>
                                </w:trPr>
                                <w:tc>
                                  <w:tcPr>
                                    <w:tcW w:w="566" w:type="dxa"/>
                                    <w:vMerge w:val="continue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rPr>
                                        <w:rFonts w:hint="eastAsia" w:ascii="宋体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24" w:type="dxa"/>
                                    <w:vMerge w:val="continue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rPr>
                                        <w:rFonts w:hint="eastAsia" w:ascii="宋体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vMerge w:val="continue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rPr>
                                        <w:rFonts w:hint="eastAsia" w:ascii="宋体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6" w:type="dxa"/>
                                    <w:vMerge w:val="continue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rPr>
                                        <w:rFonts w:hint="eastAsia" w:ascii="宋体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vMerge w:val="continue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rPr>
                                        <w:rFonts w:hint="eastAsia" w:ascii="宋体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姓名</w:t>
                                    </w:r>
                                  </w:p>
                                </w:tc>
                                <w:tc>
                                  <w:tcPr>
                                    <w:tcW w:w="70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出生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年月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职称</w:t>
                                    </w:r>
                                  </w:p>
                                </w:tc>
                                <w:tc>
                                  <w:tcPr>
                                    <w:tcW w:w="12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成果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人数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正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高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副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高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讲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师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其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他</w:t>
                                    </w:r>
                                  </w:p>
                                </w:tc>
                                <w:tc>
                                  <w:tcPr>
                                    <w:tcW w:w="19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b/>
                                        <w:bCs w:val="0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b/>
                                        <w:bCs w:val="0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团队科研情况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vMerge w:val="continue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rPr>
                                        <w:rFonts w:hint="eastAsia" w:ascii="宋体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5" w:type="dxa"/>
                                    <w:vMerge w:val="continue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rPr>
                                        <w:rFonts w:hint="eastAsia" w:ascii="宋体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00" w:type="dxa"/>
                                    <w:vMerge w:val="continue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rPr>
                                        <w:rFonts w:hint="eastAsia" w:ascii="宋体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24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电子商务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2013</w:t>
                                    </w:r>
                                  </w:p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57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422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陈伟</w:t>
                                    </w:r>
                                  </w:p>
                                </w:tc>
                                <w:tc>
                                  <w:tcPr>
                                    <w:tcW w:w="70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1968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讲师</w:t>
                                    </w:r>
                                  </w:p>
                                </w:tc>
                                <w:tc>
                                  <w:tcPr>
                                    <w:tcW w:w="12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副主编三本书；论文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篇；省与校项目各一个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人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博士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硕士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9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承担科研项目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项（校级），教师参加科研比例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75%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，近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年人均论文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篇，科研经费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0.1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万元，论文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但没有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承担任何任务</w:t>
                                    </w:r>
                                  </w:p>
                                </w:tc>
                                <w:tc>
                                  <w:tcPr>
                                    <w:tcW w:w="98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1400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两位具有博士学位的教授和一名副教授均为校外兼职教师；两名实验教师为校内兼职。</w:t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1400" w:hRule="atLeast"/>
                                </w:trPr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124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商务英语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2013</w:t>
                                    </w:r>
                                  </w:p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256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1148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石本俊</w:t>
                                    </w:r>
                                  </w:p>
                                </w:tc>
                                <w:tc>
                                  <w:tcPr>
                                    <w:tcW w:w="70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1954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高级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教师</w:t>
                                    </w:r>
                                  </w:p>
                                </w:tc>
                                <w:tc>
                                  <w:tcPr>
                                    <w:tcW w:w="12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省级项目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项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27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人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博士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硕士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9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教师参加科研比例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96%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，近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年人均论文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1.3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篇，科研经费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25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万，论文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 w:firstLine="120" w:firstLineChars="50"/>
                                      <w:jc w:val="left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35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98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1400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1548" w:hRule="atLeast"/>
                                </w:trPr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24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经济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统计学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2013</w:t>
                                    </w:r>
                                  </w:p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74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291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黄小敏</w:t>
                                    </w:r>
                                  </w:p>
                                </w:tc>
                                <w:tc>
                                  <w:tcPr>
                                    <w:tcW w:w="70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1976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副教授</w:t>
                                    </w:r>
                                  </w:p>
                                </w:tc>
                                <w:tc>
                                  <w:tcPr>
                                    <w:tcW w:w="12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第二主编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书一本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国家与省级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各一项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人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博士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硕士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9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教师参加科研比例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57%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，近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年人均论文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0.3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篇，科研经费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元，论文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 w:firstLine="120" w:firstLineChars="50"/>
                                      <w:jc w:val="left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98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1400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1199" w:hRule="atLeast"/>
                                </w:trPr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124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酒店管理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2014</w:t>
                                    </w:r>
                                  </w:p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―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295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李丽君</w:t>
                                    </w:r>
                                  </w:p>
                                </w:tc>
                                <w:tc>
                                  <w:tcPr>
                                    <w:tcW w:w="70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1959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副教授</w:t>
                                    </w:r>
                                  </w:p>
                                </w:tc>
                                <w:tc>
                                  <w:tcPr>
                                    <w:tcW w:w="12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人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博士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硕士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9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科研经费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1.8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万元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但没有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承担任何任务</w:t>
                                    </w:r>
                                  </w:p>
                                </w:tc>
                                <w:tc>
                                  <w:tcPr>
                                    <w:tcW w:w="98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1400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1542" w:hRule="atLeast"/>
                                </w:trPr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124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秘书学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2015</w:t>
                                    </w:r>
                                  </w:p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―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116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李贤民</w:t>
                                    </w:r>
                                  </w:p>
                                </w:tc>
                                <w:tc>
                                  <w:tcPr>
                                    <w:tcW w:w="70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1955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教授</w:t>
                                    </w:r>
                                  </w:p>
                                </w:tc>
                                <w:tc>
                                  <w:tcPr>
                                    <w:tcW w:w="12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论文一篇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省部级项目、市厅级项目一项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近四年支配科研经费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万元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人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博士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硕士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9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left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教师参加科研比例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60%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，近四年人均论文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篇，科研经费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万元，论文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15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篇，出版专著（教材）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部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98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400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987" w:hRule="atLeast"/>
                                </w:trPr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124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翻译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2015</w:t>
                                    </w:r>
                                  </w:p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―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155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王军</w:t>
                                    </w:r>
                                  </w:p>
                                </w:tc>
                                <w:tc>
                                  <w:tcPr>
                                    <w:tcW w:w="70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1956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副教授</w:t>
                                    </w:r>
                                  </w:p>
                                </w:tc>
                                <w:tc>
                                  <w:tcPr>
                                    <w:tcW w:w="12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专著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本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人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博士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硕士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9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left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教师参加科研比例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75%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，近四年人均论文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2.2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27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98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400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1214" w:hRule="atLeast"/>
                                </w:trPr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124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文化产业管理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2015</w:t>
                                    </w:r>
                                  </w:p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―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180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李文胜</w:t>
                                    </w:r>
                                  </w:p>
                                </w:tc>
                                <w:tc>
                                  <w:tcPr>
                                    <w:tcW w:w="70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1976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讲师</w:t>
                                    </w:r>
                                  </w:p>
                                </w:tc>
                                <w:tc>
                                  <w:tcPr>
                                    <w:tcW w:w="12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篇，专著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部，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人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博士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硕士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9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教师参加科研比例，近四年人伦论文，出版专著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98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400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shd w:val="clear"/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1548" w:hRule="atLeast"/>
                                </w:trPr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124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投资学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2015</w:t>
                                    </w:r>
                                  </w:p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―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120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张方群</w:t>
                                    </w:r>
                                  </w:p>
                                </w:tc>
                                <w:tc>
                                  <w:tcPr>
                                    <w:tcW w:w="70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1967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讲师</w:t>
                                    </w:r>
                                  </w:p>
                                </w:tc>
                                <w:tc>
                                  <w:tcPr>
                                    <w:tcW w:w="12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省级项目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项，近四年支配科研经费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0.6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万元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人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博士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硕士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9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left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教师参加科研比例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100%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，近四年人均论文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0.9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98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1400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1548" w:hRule="atLeast"/>
                                </w:trPr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124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服装与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服饰设计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2011</w:t>
                                    </w:r>
                                  </w:p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36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267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陈贤昌</w:t>
                                    </w:r>
                                  </w:p>
                                </w:tc>
                                <w:tc>
                                  <w:tcPr>
                                    <w:tcW w:w="70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1962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副教授</w:t>
                                    </w:r>
                                  </w:p>
                                </w:tc>
                                <w:tc>
                                  <w:tcPr>
                                    <w:tcW w:w="12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出版专著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部，论文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篇，获奖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项，国家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，省部级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，其他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；目前承担省级项目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，厅级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，近四年支配经费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万元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人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硕士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9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left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教师参加科研比例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100%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，近四年人均论文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2.2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篇，出版专著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部，论文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98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1400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>
                                <w:tblPrEx>
                                  <w:tbl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insideH w:val="outset" w:color="auto" w:sz="6" w:space="0"/>
                                    <w:insideV w:val="outset" w:color="auto" w:sz="6" w:space="0"/>
                                  </w:tblBorders>
                                  <w:tblLayout w:type="fixed"/>
                                  <w:tblCell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blCellMar>
                                </w:tblPrEx>
                                <w:trPr>
                                  <w:trHeight w:val="1319" w:hRule="atLeast"/>
                                </w:trPr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124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环境设计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2011</w:t>
                                    </w:r>
                                  </w:p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37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247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荣明芹</w:t>
                                    </w:r>
                                  </w:p>
                                </w:tc>
                                <w:tc>
                                  <w:tcPr>
                                    <w:tcW w:w="70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1978</w:t>
                                    </w:r>
                                  </w:p>
                                </w:tc>
                                <w:tc>
                                  <w:tcPr>
                                    <w:tcW w:w="84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讲师</w:t>
                                    </w:r>
                                  </w:p>
                                </w:tc>
                                <w:tc>
                                  <w:tcPr>
                                    <w:tcW w:w="12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人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硕士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8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rFonts w:hint="default" w:ascii="Calibri" w:hAnsi="Calibri" w:cs="Calibri"/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967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教师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参加科研比例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100%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，近四年人均论文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0.5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篇，科研经费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0.4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万元，论文</w:t>
                                    </w: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篇</w:t>
                                    </w:r>
                                  </w:p>
                                </w:tc>
                                <w:tc>
                                  <w:tcPr>
                                    <w:tcW w:w="982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985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default" w:ascii="Calibri" w:hAnsi="Calibri" w:cs="Calibri" w:eastAsiaTheme="minorEastAsia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个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有承担</w:t>
                                    </w:r>
                                  </w:p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int="eastAsia" w:ascii="Calibri" w:hAnsi="Calibri" w:eastAsia="宋体" w:cs="宋体"/>
                                        <w:kern w:val="0"/>
                                        <w:sz w:val="24"/>
                                        <w:szCs w:val="21"/>
                                        <w:bdr w:val="none" w:color="auto" w:sz="0" w:space="0"/>
                                        <w:lang w:val="en-US" w:eastAsia="zh-CN" w:bidi="ar"/>
                                      </w:rPr>
                                      <w:t>任务</w:t>
                                    </w:r>
                                  </w:p>
                                </w:tc>
                                <w:tc>
                                  <w:tcPr>
                                    <w:tcW w:w="1400" w:type="dxa"/>
                                    <w:tcBorders>
                                      <w:top w:val="single" w:color="auto" w:sz="4" w:space="0"/>
                                      <w:left w:val="single" w:color="auto" w:sz="4" w:space="0"/>
                                      <w:bottom w:val="single" w:color="auto" w:sz="4" w:space="0"/>
                                      <w:right w:val="single" w:color="auto" w:sz="4" w:space="0"/>
                                    </w:tcBorders>
                                    <w:shd w:val="clear"/>
                                    <w:vAlign w:val="center"/>
                                  </w:tcPr>
                                  <w:p>
                                    <w:pPr>
                                      <w:keepNext w:val="0"/>
                                      <w:keepLines w:val="0"/>
                                      <w:widowControl/>
                                      <w:suppressLineNumbers w:val="0"/>
                                      <w:spacing w:before="0" w:beforeAutospacing="0" w:after="0" w:afterAutospacing="0" w:line="260" w:lineRule="exact"/>
                                      <w:ind w:left="0" w:right="0"/>
                                      <w:jc w:val="center"/>
                                      <w:rPr>
                                        <w:szCs w:val="21"/>
                                        <w:bdr w:val="none" w:color="auto" w:sz="0" w:space="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wordWrap w:val="0"/>
                                <w:spacing w:before="156" w:beforeLines="50" w:beforeAutospacing="0" w:after="0" w:afterAutospacing="0"/>
                                <w:ind w:left="0" w:right="0"/>
                                <w:jc w:val="lef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注：</w:t>
                              </w: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 xml:space="preserve">1. 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酒店管理专业学生总数</w:t>
                              </w: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=1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年级学生数</w:t>
                              </w: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+2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年级学生数</w:t>
                              </w: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+2016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年拟计划招生数（未审定）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wordWrap w:val="0"/>
                                <w:spacing w:before="0" w:beforeAutospacing="0" w:after="0" w:afterAutospacing="0"/>
                                <w:ind w:left="0" w:right="0"/>
                                <w:jc w:val="lef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 xml:space="preserve">    2. 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秘书学、翻译、文化产业管理、投资学四个专业学生总数</w:t>
                              </w: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=1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年级学生数</w:t>
                              </w: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+2016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年拟计划招生数（未审定）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wordWrap w:val="0"/>
                                <w:spacing w:before="0" w:beforeAutospacing="0" w:after="0" w:afterAutospacing="0"/>
                                <w:ind w:left="0" w:right="0"/>
                                <w:jc w:val="lef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 xml:space="preserve">    3. 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服装与服饰设计专业、环境设计专业学生总数</w:t>
                              </w: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=1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、</w:t>
                              </w: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2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、</w:t>
                              </w: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3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年级学生数</w:t>
                              </w:r>
                              <w:r>
                                <w:rPr>
                                  <w:rFonts w:hint="default" w:ascii="Calibri" w:hAnsi="Calibri" w:cs="Calibri" w:eastAsiaTheme="minorEastAsia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+2016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年拟计划招生数（未审定）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widowControl/>
                                <w:suppressLineNumbers w:val="0"/>
                                <w:wordWrap w:val="0"/>
                                <w:spacing w:before="0" w:beforeAutospacing="0" w:after="0" w:afterAutospacing="0"/>
                                <w:ind w:left="0" w:right="0"/>
                                <w:jc w:val="left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jc w:val="left"/>
                          <w:rPr>
                            <w:sz w:val="36"/>
                            <w:szCs w:val="36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</w:tbl>
                <w:p>
                  <w:pPr>
                    <w:jc w:val="center"/>
                  </w:pPr>
                </w:p>
              </w:tc>
              <w:tc>
                <w:tcPr>
                  <w:tcW w:w="36" w:type="dxa"/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</w:tr>
          </w:tbl>
          <w:p/>
        </w:tc>
      </w:tr>
    </w:tbl>
    <w:p/>
    <w:sectPr>
      <w:pgSz w:w="16838" w:h="11906" w:orient="landscape"/>
      <w:pgMar w:top="1803" w:right="283" w:bottom="1803" w:left="28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E7A7A"/>
    <w:rsid w:val="6DBE7A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  <w:style w:type="paragraph" w:styleId="5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6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2017-11-15T02:14:00Z</dcterms:created>
  <dc:creator>Administrator</dc:creator>
  <cp:lastModifiedBy>Administrator</cp:lastModifiedBy>
  <dcterms:modified xsi:type="dcterms:W3CDTF">2017-11-15T02:23:37Z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